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  <w:t>单位注册</w:t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（1）在浏览器中输入网址：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fldChar w:fldCharType="begin"/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instrText xml:space="preserve"> HYPERLINK "http://www.dzzjcs.com" </w:instrTex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华文仿宋" w:hAnsi="华文仿宋" w:eastAsia="华文仿宋" w:cs="华文仿宋"/>
          <w:sz w:val="28"/>
          <w:szCs w:val="28"/>
          <w:lang w:val="en-US" w:eastAsia="zh-CN"/>
        </w:rPr>
        <w:t>www.dzzjcs.com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fldChar w:fldCharType="end"/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，访问达州市中介超市网站，点击右上角的“立即注册”，进入注册页面：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5274310" cy="2521585"/>
            <wp:effectExtent l="0" t="0" r="2540" b="1206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）注册前，需注册单位需认真阅读注册协议，并点击“我已阅读并同意该协议”：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5268595" cy="3281045"/>
            <wp:effectExtent l="0" t="0" r="825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8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）在注册页面，填写如下所示信息，其中标红色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*为必填项，注意“用户类型”需要选择正确的类型。须保证填写信息真实有效，填写完成后点击“立即注册”：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="华文仿宋" w:hAnsi="华文仿宋" w:eastAsia="华文仿宋" w:cs="华文仿宋"/>
          <w:sz w:val="28"/>
          <w:szCs w:val="28"/>
        </w:rPr>
      </w:pPr>
      <w:r>
        <w:drawing>
          <wp:inline distT="0" distB="0" distL="114300" distR="114300">
            <wp:extent cx="4325620" cy="3304540"/>
            <wp:effectExtent l="0" t="0" r="17780" b="1016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5620" cy="330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）注册成功后，提示如下，点击“立即登录”即可完成注册流程：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5273040" cy="3006090"/>
            <wp:effectExtent l="0" t="0" r="381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br w:type="page"/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  <w:t>二、信息入库</w:t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）注册后登陆系统，在点击左上角所示图标，可修改注册时填写的密码：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="华文仿宋" w:hAnsi="华文仿宋" w:eastAsia="华文仿宋" w:cs="华文仿宋"/>
          <w:sz w:val="28"/>
          <w:szCs w:val="28"/>
        </w:rPr>
      </w:pPr>
      <w:r>
        <w:drawing>
          <wp:inline distT="0" distB="0" distL="114300" distR="114300">
            <wp:extent cx="4384040" cy="2379345"/>
            <wp:effectExtent l="0" t="0" r="16510" b="1905"/>
            <wp:docPr id="3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4040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）初次注册成功后，注册单位状态为编辑中，此时无法开展中介服务相关业务，点击“修改信息”，完善单位基本信息：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  <w:sz w:val="28"/>
          <w:szCs w:val="28"/>
        </w:rPr>
      </w:pPr>
      <w:r>
        <w:drawing>
          <wp:inline distT="0" distB="0" distL="114300" distR="114300">
            <wp:extent cx="5273040" cy="2070100"/>
            <wp:effectExtent l="0" t="0" r="3810" b="635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）在“基本信息”栏，如实完善单位信息，其中标红色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*为必填项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72405" cy="1725295"/>
            <wp:effectExtent l="0" t="0" r="4445" b="8255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）点击左上角的“电子件管理”，注册单位须上传相应的电子件：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71135" cy="1703705"/>
            <wp:effectExtent l="0" t="0" r="5715" b="10795"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）电子件列表页面，点击对应电子件右侧的“电子件管理”上传，上传的电子件格式为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图片（jpg/jpeg/bmp/gif/png）或者pdf：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70500" cy="1327785"/>
            <wp:effectExtent l="0" t="0" r="6350" b="5715"/>
            <wp:docPr id="2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（6）在电子件上传页面，点击右上角的“选择文件”，选择需要上传的电子件，上传成功如下所示：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drawing>
          <wp:inline distT="0" distB="0" distL="114300" distR="114300">
            <wp:extent cx="5268595" cy="2353945"/>
            <wp:effectExtent l="0" t="0" r="8255" b="8255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）所有电子件均完成上传后，回到“基本信息”页面，点击“下一步”或者“修改保存”：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70500" cy="1811020"/>
            <wp:effectExtent l="0" t="0" r="6350" b="17780"/>
            <wp:docPr id="2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）确认所有信息和电子件无误后，注册单位点击“提交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信息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”，无误后点击“确认提交”：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65420" cy="2084705"/>
            <wp:effectExtent l="0" t="0" r="11430" b="1079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）提交后状态自动变更为“确认已通过”，在此状态下，项目业主才能进行正常的业务操作：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72405" cy="1715135"/>
            <wp:effectExtent l="0" t="0" r="4445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华文仿宋" w:hAnsi="华文仿宋" w:eastAsia="华文仿宋" w:cs="华文仿宋"/>
          <w:color w:val="FF0000"/>
          <w:sz w:val="28"/>
          <w:szCs w:val="28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9CEC"/>
    <w:multiLevelType w:val="singleLevel"/>
    <w:tmpl w:val="0E199C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71BD"/>
    <w:rsid w:val="049104C5"/>
    <w:rsid w:val="18312179"/>
    <w:rsid w:val="22A460D4"/>
    <w:rsid w:val="32F67202"/>
    <w:rsid w:val="33C50BFF"/>
    <w:rsid w:val="41CC7262"/>
    <w:rsid w:val="5D6D07FD"/>
    <w:rsid w:val="62E24FAE"/>
    <w:rsid w:val="6CE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2019-04-26T06:50:11Z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